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补充新证据规则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如有新证据应提供一式   份（采取N+1模式，即新证据份数=被申请人个数+1）,在每一份新证据右上角标明“新证据”，制作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新证据目录</w:t>
      </w:r>
      <w:r>
        <w:rPr>
          <w:rFonts w:hint="eastAsia" w:ascii="仿宋" w:hAnsi="仿宋" w:eastAsia="仿宋" w:cs="仿宋"/>
          <w:b w:val="0"/>
          <w:bCs w:val="0"/>
          <w:sz w:val="36"/>
          <w:szCs w:val="44"/>
          <w:lang w:val="en-US" w:eastAsia="zh-CN"/>
        </w:rPr>
        <w:t>，并按顺序排列新证据。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44"/>
          <w:lang w:val="en-US" w:eastAsia="zh-CN"/>
        </w:rPr>
        <w:t>提供新证据取得说明一份（写明何时取得新证据，为什么未在一、二审中提交该证据）。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注：补正材料寄回我院审核前，请严格按照材料收取清单认真审核材料是否齐全，以免被再次退回补正。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邮寄地址：安徽省合肥市包河区包河大道116号安徽省高级人民法院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收件人：信访处，联系电话：0551-65599842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ED12AC"/>
    <w:multiLevelType w:val="singleLevel"/>
    <w:tmpl w:val="D0ED12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M2FlZGZiM2E4ZWJkNjBmYWZjODYwNDA3MDNlYjgifQ=="/>
  </w:docVars>
  <w:rsids>
    <w:rsidRoot w:val="611D02E5"/>
    <w:rsid w:val="611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2024-01-04T02:58:00Z</dcterms:created>
  <dc:creator>LNDT</dc:creator>
  <cp:lastModifiedBy>LNDT</cp:lastModifiedBy>
  <dcterms:modified xsi:type="dcterms:W3CDTF">2024-01-04T02:58:52Z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073A5E081A4942D9AE723ED35C9CD6E9_11</vt:lpwstr>
  </property>
</Properties>
</file>